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1B" w:rsidRPr="00DE2106" w:rsidRDefault="0082051B" w:rsidP="0082051B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中国建设银行“乾元—鑫满溢足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3号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82051B" w:rsidRPr="00DE2106" w:rsidRDefault="0082051B" w:rsidP="0082051B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>
        <w:rPr>
          <w:rFonts w:ascii="彩虹粗仿宋" w:eastAsia="彩虹粗仿宋" w:hAnsi="宋体" w:hint="eastAsia"/>
          <w:color w:val="000000"/>
          <w:szCs w:val="21"/>
        </w:rPr>
        <w:t>2018年7月4日</w:t>
      </w:r>
    </w:p>
    <w:p w:rsidR="0082051B" w:rsidRPr="00DE2106" w:rsidRDefault="0082051B" w:rsidP="0082051B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“乾元-鑫满溢足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式成立，首次开放日为【2016】年【12】月【26】日。截至2018年6月30日，</w:t>
      </w:r>
      <w:r w:rsidRPr="00EE25D4">
        <w:rPr>
          <w:rFonts w:ascii="彩虹粗仿宋" w:eastAsia="彩虹粗仿宋" w:hAnsi="宋体" w:hint="eastAsia"/>
          <w:color w:val="000000"/>
          <w:sz w:val="28"/>
          <w:szCs w:val="28"/>
        </w:rPr>
        <w:t>本产品实收资本52,485,015.3041份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，资产净值</w:t>
      </w:r>
      <w:r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  <w:t>0.5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82051B" w:rsidRPr="00DE2106" w:rsidRDefault="0082051B" w:rsidP="0082051B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82051B" w:rsidRPr="00DE2106" w:rsidRDefault="0082051B" w:rsidP="0082051B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截至2018年6月30日，产品单位净值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Pr="0082472B">
        <w:rPr>
          <w:rFonts w:ascii="彩虹粗仿宋" w:eastAsia="彩虹粗仿宋" w:hAnsi="宋体"/>
          <w:color w:val="000000"/>
          <w:sz w:val="28"/>
          <w:szCs w:val="28"/>
        </w:rPr>
        <w:t>1.00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18元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82051B" w:rsidRPr="00DE2106" w:rsidRDefault="0082051B" w:rsidP="0082051B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82051B" w:rsidRPr="00DE2106" w:rsidRDefault="0082051B" w:rsidP="0082051B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82051B" w:rsidRPr="00DE2106" w:rsidRDefault="0082051B" w:rsidP="0082051B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82051B" w:rsidRPr="0000530E" w:rsidRDefault="0082051B" w:rsidP="0082051B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截至2018年6月30日，本产品的资金实际全部投资于现金、股票、买入返售金融资产等。</w:t>
      </w:r>
    </w:p>
    <w:p w:rsidR="0082051B" w:rsidRPr="00030DB3" w:rsidRDefault="0082051B" w:rsidP="0082051B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82051B" w:rsidRPr="00DE2106" w:rsidRDefault="0082051B" w:rsidP="0082051B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7A2D8F3F" wp14:editId="40DD6E34">
            <wp:extent cx="3719195" cy="2520315"/>
            <wp:effectExtent l="0" t="0" r="0" b="0"/>
            <wp:docPr id="8" name="图表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2051B" w:rsidRPr="00DE2106" w:rsidRDefault="0082051B" w:rsidP="0082051B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82051B" w:rsidRPr="00467715" w:rsidRDefault="0082051B" w:rsidP="0082051B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目前无</w:t>
      </w:r>
      <w:r>
        <w:rPr>
          <w:rFonts w:ascii="彩虹粗仿宋" w:eastAsia="彩虹粗仿宋" w:hAnsi="宋体"/>
          <w:color w:val="000000"/>
          <w:sz w:val="28"/>
          <w:szCs w:val="28"/>
        </w:rPr>
        <w:t>债券投资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82051B" w:rsidRPr="00DE2106" w:rsidRDefault="0082051B" w:rsidP="0082051B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82051B" w:rsidRPr="00DE2106" w:rsidRDefault="0082051B" w:rsidP="0082051B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82051B" w:rsidRPr="00DE2106" w:rsidRDefault="0082051B" w:rsidP="0082051B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82051B" w:rsidRPr="00DE2106" w:rsidRDefault="0082051B" w:rsidP="0082051B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82051B" w:rsidRPr="00DE2106" w:rsidRDefault="0082051B" w:rsidP="0082051B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82051B" w:rsidRPr="00DE2106" w:rsidRDefault="0082051B" w:rsidP="0082051B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2018年7月4日</w:t>
      </w:r>
    </w:p>
    <w:p w:rsidR="0082051B" w:rsidRPr="005D1C84" w:rsidRDefault="0082051B" w:rsidP="0082051B">
      <w:pPr>
        <w:rPr>
          <w:rFonts w:ascii="Times New Roman" w:hAnsi="Times New Roman"/>
          <w:szCs w:val="24"/>
        </w:rPr>
      </w:pPr>
    </w:p>
    <w:p w:rsidR="00A84967" w:rsidRPr="0082051B" w:rsidRDefault="00A84967" w:rsidP="0082051B">
      <w:bookmarkStart w:id="0" w:name="_GoBack"/>
      <w:bookmarkEnd w:id="0"/>
    </w:p>
    <w:sectPr w:rsidR="00A84967" w:rsidRPr="0082051B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67"/>
    <w:rsid w:val="002C7DA2"/>
    <w:rsid w:val="00596B67"/>
    <w:rsid w:val="0082051B"/>
    <w:rsid w:val="00A84967"/>
    <w:rsid w:val="00E7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93FD6-3D52-4461-9847-554BC59E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B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0-&#24037;&#20316;\&#26631;&#20934;&#21270;&#25237;&#30740;\1-&#20135;&#21697;&#25237;&#21518;\2018-06-29\&#24314;&#20449;&#36164;&#26412;&#23433;&#37995;1&#12289;2&#21495;&#65293;&#25237;&#21518;&#31649;&#29702;&#21488;&#36134;&#12304;2018-06-29&#1230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楷体_GB2312" panose="02010609030101010101" pitchFamily="49" charset="-122"/>
                <a:ea typeface="楷体_GB2312" panose="02010609030101010101" pitchFamily="49" charset="-122"/>
                <a:cs typeface="+mn-cs"/>
              </a:defRPr>
            </a:pPr>
            <a:r>
              <a:rPr lang="zh-CN" altLang="en-US">
                <a:solidFill>
                  <a:schemeClr val="tx1"/>
                </a:solidFill>
              </a:rPr>
              <a:t>资产分布情况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安鑫2号资产分布</c:v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EC1-4710-A8CC-6979FBE61F73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EC1-4710-A8CC-6979FBE61F73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EC1-4710-A8CC-6979FBE61F73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EC1-4710-A8CC-6979FBE61F73}"/>
              </c:ext>
            </c:extLst>
          </c:dPt>
          <c:dLbls>
            <c:dLbl>
              <c:idx val="0"/>
              <c:layout>
                <c:manualLayout>
                  <c:x val="-1.1372144055763521E-3"/>
                  <c:y val="1.514540042933620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EC1-4710-A8CC-6979FBE61F7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636664488085235"/>
                  <c:y val="1.0095256912852648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EC1-4710-A8CC-6979FBE61F7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631186911912691E-2"/>
                  <c:y val="-3.617742366375234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EC1-4710-A8CC-6979FBE61F7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8075378917556212E-2"/>
                  <c:y val="-1.150208209802753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EC1-4710-A8CC-6979FBE61F73}"/>
                </c:ex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安鑫2号!$L$7:$L$10</c:f>
              <c:strCache>
                <c:ptCount val="4"/>
                <c:pt idx="0">
                  <c:v>买入返售金融资产</c:v>
                </c:pt>
                <c:pt idx="1">
                  <c:v>现金类资产</c:v>
                </c:pt>
                <c:pt idx="2">
                  <c:v>应收利息</c:v>
                </c:pt>
                <c:pt idx="3">
                  <c:v>股票投资</c:v>
                </c:pt>
              </c:strCache>
            </c:strRef>
          </c:cat>
          <c:val>
            <c:numRef>
              <c:f>安鑫2号!$K$7:$K$10</c:f>
              <c:numCache>
                <c:formatCode>0.00%</c:formatCode>
                <c:ptCount val="4"/>
                <c:pt idx="0">
                  <c:v>0.98936217504871815</c:v>
                </c:pt>
                <c:pt idx="1">
                  <c:v>1.0174801122478006E-2</c:v>
                </c:pt>
                <c:pt idx="2">
                  <c:v>4.6302382880395371E-4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EC1-4710-A8CC-6979FBE61F7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054644808743182"/>
          <c:y val="0.14582055410825812"/>
          <c:w val="0.29306010928961751"/>
          <c:h val="0.612180445252290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楷体_GB2312" panose="02010609030101010101" pitchFamily="49" charset="-122"/>
              <a:ea typeface="楷体_GB2312" panose="02010609030101010101" pitchFamily="49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2018-07-04T08:37:00Z</dcterms:created>
  <dcterms:modified xsi:type="dcterms:W3CDTF">2018-07-04T08:37:00Z</dcterms:modified>
</cp:coreProperties>
</file>